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Style w:val="9"/>
          <w:rFonts w:hint="eastAsia" w:ascii="方正小标宋简体" w:hAnsi="黑体" w:eastAsia="方正小标宋简体" w:cs="黑体"/>
          <w:b w:val="0"/>
          <w:bCs w:val="0"/>
          <w:sz w:val="36"/>
          <w:szCs w:val="36"/>
          <w:lang w:eastAsia="zh-CN"/>
        </w:rPr>
      </w:pPr>
      <w:bookmarkStart w:id="0" w:name="_Toc429668906"/>
      <w:r>
        <w:rPr>
          <w:rStyle w:val="9"/>
          <w:rFonts w:hint="eastAsia" w:ascii="方正小标宋简体" w:hAnsi="黑体" w:eastAsia="方正小标宋简体" w:cs="黑体"/>
          <w:b w:val="0"/>
          <w:bCs w:val="0"/>
          <w:sz w:val="36"/>
          <w:szCs w:val="36"/>
          <w:lang w:eastAsia="zh-CN"/>
        </w:rPr>
        <w:t>第七届中国国际“互联网+”大学生创新创业大赛</w:t>
      </w:r>
    </w:p>
    <w:p>
      <w:pPr>
        <w:spacing w:line="600" w:lineRule="exact"/>
        <w:jc w:val="center"/>
        <w:rPr>
          <w:rStyle w:val="9"/>
          <w:rFonts w:ascii="方正小标宋简体" w:hAnsi="黑体" w:eastAsia="方正小标宋简体" w:cs="黑体"/>
          <w:b w:val="0"/>
          <w:bCs w:val="0"/>
          <w:sz w:val="36"/>
          <w:szCs w:val="36"/>
        </w:rPr>
      </w:pPr>
      <w:r>
        <w:rPr>
          <w:rStyle w:val="9"/>
          <w:rFonts w:hint="eastAsia" w:ascii="方正小标宋简体" w:hAnsi="黑体" w:eastAsia="方正小标宋简体" w:cs="黑体"/>
          <w:b w:val="0"/>
          <w:sz w:val="36"/>
          <w:szCs w:val="36"/>
        </w:rPr>
        <w:t>职教赛道项目评审规则</w:t>
      </w:r>
      <w:bookmarkEnd w:id="0"/>
    </w:p>
    <w:p>
      <w:pPr>
        <w:spacing w:line="560" w:lineRule="exact"/>
        <w:jc w:val="left"/>
        <w:rPr>
          <w:rFonts w:ascii="黑体" w:hAnsi="黑体" w:eastAsia="黑体" w:cs="仿宋_GB2312"/>
          <w:bCs/>
          <w:sz w:val="32"/>
          <w:szCs w:val="32"/>
        </w:rPr>
      </w:pPr>
      <w:r>
        <w:rPr>
          <w:rFonts w:hint="eastAsia" w:ascii="黑体" w:hAnsi="黑体" w:eastAsia="黑体" w:cs="仿宋_GB2312"/>
          <w:bCs/>
          <w:sz w:val="32"/>
          <w:szCs w:val="32"/>
        </w:rPr>
        <w:t>一、职教赛道项目评审要点：创意组</w:t>
      </w:r>
    </w:p>
    <w:tbl>
      <w:tblPr>
        <w:tblStyle w:val="7"/>
        <w:tblW w:w="10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38"/>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评审要点</w:t>
            </w:r>
          </w:p>
        </w:tc>
        <w:tc>
          <w:tcPr>
            <w:tcW w:w="7638"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评审内容</w:t>
            </w:r>
          </w:p>
        </w:tc>
        <w:tc>
          <w:tcPr>
            <w:tcW w:w="725" w:type="dxa"/>
            <w:vAlign w:val="center"/>
          </w:tcPr>
          <w:p>
            <w:pPr>
              <w:spacing w:line="560" w:lineRule="exact"/>
              <w:jc w:val="center"/>
              <w:rPr>
                <w:rFonts w:hint="eastAsia" w:ascii="仿宋_GB2312" w:eastAsia="仿宋_GB2312" w:cs="仿宋" w:hAnsiTheme="majorEastAsia"/>
                <w:b/>
                <w:sz w:val="24"/>
                <w:szCs w:val="24"/>
              </w:rPr>
            </w:pPr>
            <w:r>
              <w:rPr>
                <w:rFonts w:hint="eastAsia" w:ascii="仿宋_GB2312" w:eastAsia="仿宋_GB2312" w:cs="仿宋" w:hAnsiTheme="majorEastAsia"/>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创新维度</w:t>
            </w:r>
          </w:p>
        </w:tc>
        <w:tc>
          <w:tcPr>
            <w:tcW w:w="7638" w:type="dxa"/>
            <w:vAlign w:val="center"/>
          </w:tcPr>
          <w:p>
            <w:pPr>
              <w:numPr>
                <w:ilvl w:val="0"/>
                <w:numId w:val="1"/>
              </w:numPr>
              <w:spacing w:line="400" w:lineRule="exact"/>
              <w:jc w:val="left"/>
              <w:rPr>
                <w:rFonts w:hint="eastAsia" w:ascii="仿宋_GB2312" w:eastAsia="仿宋_GB2312" w:cs="仿宋_GB2312"/>
                <w:sz w:val="24"/>
                <w:szCs w:val="24"/>
              </w:rPr>
            </w:pPr>
            <w:r>
              <w:rPr>
                <w:rFonts w:hint="eastAsia" w:ascii="仿宋_GB2312" w:eastAsia="仿宋_GB2312" w:cs="仿宋_GB2312"/>
                <w:sz w:val="24"/>
                <w:szCs w:val="24"/>
              </w:rPr>
              <w:t xml:space="preserve">具有原始创意、创造。 </w:t>
            </w:r>
          </w:p>
          <w:p>
            <w:pPr>
              <w:numPr>
                <w:ilvl w:val="0"/>
                <w:numId w:val="1"/>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具有面向培养“大国工匠”与能工巧匠的创意与创新。 </w:t>
            </w:r>
          </w:p>
          <w:p>
            <w:pPr>
              <w:numPr>
                <w:ilvl w:val="0"/>
                <w:numId w:val="1"/>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项目体现产教融合模式创新、校企合作模式创新、工学一体模式创新。 </w:t>
            </w:r>
          </w:p>
          <w:p>
            <w:pPr>
              <w:numPr>
                <w:ilvl w:val="0"/>
                <w:numId w:val="1"/>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鼓励面向职业和岗位的创意及创新，侧重于加工工艺创新、实用技术创新、产品（技术）改良、应用性优化、民生 类创意等。</w:t>
            </w:r>
          </w:p>
        </w:tc>
        <w:tc>
          <w:tcPr>
            <w:tcW w:w="725" w:type="dxa"/>
            <w:vAlign w:val="center"/>
          </w:tcPr>
          <w:p>
            <w:pPr>
              <w:spacing w:line="400" w:lineRule="exact"/>
              <w:jc w:val="center"/>
              <w:rPr>
                <w:rFonts w:ascii="仿宋_GB2312" w:eastAsia="仿宋_GB2312" w:cs="仿宋" w:hAnsiTheme="majorEastAsia"/>
                <w:sz w:val="28"/>
                <w:szCs w:val="28"/>
              </w:rPr>
            </w:pPr>
            <w:r>
              <w:rPr>
                <w:rFonts w:ascii="仿宋_GB2312" w:eastAsia="仿宋_GB2312" w:cs="仿宋" w:hAnsiTheme="majorEastAsia"/>
                <w:sz w:val="28"/>
                <w:szCs w:val="28"/>
              </w:rPr>
              <w:t>30</w:t>
            </w:r>
            <w:r>
              <w:rPr>
                <w:rFonts w:hint="eastAsia" w:ascii="仿宋_GB2312" w:eastAsia="仿宋_GB2312" w:cs="仿宋" w:hAnsiTheme="majorEastAsia"/>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团队维度</w:t>
            </w:r>
          </w:p>
        </w:tc>
        <w:tc>
          <w:tcPr>
            <w:tcW w:w="7638" w:type="dxa"/>
            <w:vAlign w:val="center"/>
          </w:tcPr>
          <w:p>
            <w:pPr>
              <w:numPr>
                <w:ilvl w:val="0"/>
                <w:numId w:val="2"/>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团队成员的教育、实践、工作背景、创新能力、价值观念等情况。 </w:t>
            </w:r>
          </w:p>
          <w:p>
            <w:pPr>
              <w:numPr>
                <w:ilvl w:val="0"/>
                <w:numId w:val="2"/>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团队的组织构架、分工协作、能力互补、人员配置、股权结构以及激励制度合理性情况。 </w:t>
            </w:r>
          </w:p>
          <w:p>
            <w:pPr>
              <w:numPr>
                <w:ilvl w:val="0"/>
                <w:numId w:val="2"/>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团队与项目关系的真实性、紧密性，团队对项目的各类投入情况，团队未来投身创新创业的可能性情况。 </w:t>
            </w:r>
          </w:p>
          <w:p>
            <w:pPr>
              <w:numPr>
                <w:ilvl w:val="0"/>
                <w:numId w:val="2"/>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支撑项目发展的合作伙伴等外部资源的使用以及与项目关系的情况</w:t>
            </w:r>
            <w:r>
              <w:rPr>
                <w:rFonts w:hint="eastAsia" w:ascii="仿宋_GB2312" w:eastAsia="仿宋_GB2312" w:cs="仿宋" w:hAnsiTheme="majorEastAsia"/>
                <w:sz w:val="24"/>
                <w:szCs w:val="24"/>
                <w:lang w:eastAsia="zh-CN"/>
              </w:rPr>
              <w:t>。</w:t>
            </w:r>
          </w:p>
        </w:tc>
        <w:tc>
          <w:tcPr>
            <w:tcW w:w="725"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商业维度</w:t>
            </w:r>
          </w:p>
        </w:tc>
        <w:tc>
          <w:tcPr>
            <w:tcW w:w="7638" w:type="dxa"/>
            <w:vAlign w:val="center"/>
          </w:tcPr>
          <w:p>
            <w:pPr>
              <w:numPr>
                <w:ilvl w:val="0"/>
                <w:numId w:val="3"/>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商业模式设计完整、可行，项目已具备盈利能力或具有较好的盈利潜力。 </w:t>
            </w:r>
          </w:p>
          <w:p>
            <w:pPr>
              <w:numPr>
                <w:ilvl w:val="0"/>
                <w:numId w:val="3"/>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项目目标市场容量及市场前景，项目与市场需求匹配情况、项目的市场、资本、社会价值情况，项目落地执行情况。 </w:t>
            </w:r>
          </w:p>
          <w:p>
            <w:pPr>
              <w:numPr>
                <w:ilvl w:val="0"/>
                <w:numId w:val="3"/>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对行业、市场、技术等方面有详实调研，并形成可靠的一手材料，强调实地调查和实践检验。 </w:t>
            </w:r>
          </w:p>
          <w:p>
            <w:pPr>
              <w:numPr>
                <w:numId w:val="0"/>
              </w:numPr>
              <w:spacing w:line="400" w:lineRule="exact"/>
              <w:jc w:val="left"/>
              <w:rPr>
                <w:rFonts w:hint="eastAsia" w:ascii="仿宋_GB2312" w:eastAsia="仿宋_GB2312" w:cs="仿宋" w:hAnsiTheme="majorEastAsia"/>
                <w:sz w:val="24"/>
                <w:szCs w:val="24"/>
                <w:lang w:eastAsia="zh-CN"/>
              </w:rPr>
            </w:pPr>
            <w:r>
              <w:rPr>
                <w:rFonts w:hint="eastAsia" w:ascii="仿宋_GB2312" w:eastAsia="仿宋_GB2312" w:cs="仿宋" w:hAnsiTheme="majorEastAsia"/>
                <w:sz w:val="24"/>
                <w:szCs w:val="24"/>
              </w:rPr>
              <w:t>4.项目对相关产业升级或颠覆的情况；项目与区域经济发展、产业转型升级相结合情况</w:t>
            </w:r>
            <w:r>
              <w:rPr>
                <w:rFonts w:hint="eastAsia" w:ascii="仿宋_GB2312" w:eastAsia="仿宋_GB2312" w:cs="仿宋" w:hAnsiTheme="majorEastAsia"/>
                <w:sz w:val="24"/>
                <w:szCs w:val="24"/>
                <w:lang w:eastAsia="zh-CN"/>
              </w:rPr>
              <w:t>。</w:t>
            </w:r>
          </w:p>
        </w:tc>
        <w:tc>
          <w:tcPr>
            <w:tcW w:w="725"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就业维度</w:t>
            </w:r>
          </w:p>
        </w:tc>
        <w:tc>
          <w:tcPr>
            <w:tcW w:w="7638" w:type="dxa"/>
            <w:vAlign w:val="center"/>
          </w:tcPr>
          <w:p>
            <w:pPr>
              <w:numPr>
                <w:ilvl w:val="0"/>
                <w:numId w:val="4"/>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项目直接提供就业岗位的数量和质量。 </w:t>
            </w:r>
          </w:p>
          <w:p>
            <w:pPr>
              <w:numPr>
                <w:ilvl w:val="0"/>
                <w:numId w:val="4"/>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项目间接带动就业的能力和规模。</w:t>
            </w:r>
          </w:p>
        </w:tc>
        <w:tc>
          <w:tcPr>
            <w:tcW w:w="725"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引领教育</w:t>
            </w:r>
          </w:p>
        </w:tc>
        <w:tc>
          <w:tcPr>
            <w:tcW w:w="7638" w:type="dxa"/>
            <w:vAlign w:val="center"/>
          </w:tcPr>
          <w:p>
            <w:pPr>
              <w:numPr>
                <w:ilvl w:val="0"/>
                <w:numId w:val="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项目的产生与执行充分展现团队的创新意识、思维和能力，体现团队成员解决复杂问题的综合能力和高级思维。 </w:t>
            </w:r>
          </w:p>
          <w:p>
            <w:pPr>
              <w:numPr>
                <w:ilvl w:val="0"/>
                <w:numId w:val="5"/>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突出大赛的育人本质，充分体现项目成长对团队成员创新创业精神、意识、能力的锻炼和提升作用。 </w:t>
            </w:r>
          </w:p>
          <w:p>
            <w:pPr>
              <w:numPr>
                <w:ilvl w:val="0"/>
                <w:numId w:val="5"/>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项目充分体现多学科交叉、专创融合、产学研协同创新等发展模式。 </w:t>
            </w:r>
          </w:p>
          <w:p>
            <w:pPr>
              <w:numPr>
                <w:ilvl w:val="0"/>
                <w:numId w:val="5"/>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项目所在院校在项目的培育、孵化等方面的支持情况。 </w:t>
            </w:r>
          </w:p>
          <w:p>
            <w:pPr>
              <w:numPr>
                <w:ilvl w:val="0"/>
                <w:numId w:val="5"/>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团队创新创业精神与实践的正向带动和示范作用</w:t>
            </w:r>
            <w:r>
              <w:rPr>
                <w:rFonts w:hint="eastAsia" w:ascii="仿宋_GB2312" w:eastAsia="仿宋_GB2312" w:cs="仿宋" w:hAnsiTheme="majorEastAsia"/>
                <w:sz w:val="24"/>
                <w:szCs w:val="24"/>
                <w:lang w:eastAsia="zh-CN"/>
              </w:rPr>
              <w:t>。</w:t>
            </w:r>
          </w:p>
        </w:tc>
        <w:tc>
          <w:tcPr>
            <w:tcW w:w="725" w:type="dxa"/>
            <w:vAlign w:val="center"/>
          </w:tcPr>
          <w:p>
            <w:pPr>
              <w:spacing w:line="400" w:lineRule="exact"/>
              <w:jc w:val="center"/>
              <w:rPr>
                <w:rFonts w:ascii="仿宋_GB2312" w:eastAsia="仿宋_GB2312" w:cs="仿宋" w:hAnsiTheme="majorEastAsia"/>
                <w:sz w:val="28"/>
                <w:szCs w:val="28"/>
              </w:rPr>
            </w:pPr>
            <w:r>
              <w:rPr>
                <w:rFonts w:hint="eastAsia" w:ascii="仿宋_GB2312" w:eastAsia="仿宋_GB2312" w:cs="仿宋" w:hAnsiTheme="majorEastAsia"/>
                <w:sz w:val="28"/>
                <w:szCs w:val="28"/>
                <w:lang w:val="en-US" w:eastAsia="zh-CN"/>
              </w:rPr>
              <w:t>15</w:t>
            </w:r>
          </w:p>
        </w:tc>
      </w:tr>
    </w:tbl>
    <w:p>
      <w:pPr>
        <w:widowControl/>
      </w:pPr>
      <w:r>
        <w:br w:type="page"/>
      </w:r>
    </w:p>
    <w:p>
      <w:pPr>
        <w:spacing w:line="560" w:lineRule="exact"/>
        <w:jc w:val="left"/>
        <w:rPr>
          <w:rFonts w:hint="eastAsia" w:ascii="黑体" w:hAnsi="黑体" w:eastAsia="黑体" w:cs="仿宋_GB2312"/>
          <w:bCs/>
          <w:sz w:val="32"/>
          <w:szCs w:val="32"/>
        </w:rPr>
      </w:pPr>
      <w:r>
        <w:rPr>
          <w:rFonts w:hint="eastAsia" w:ascii="黑体" w:hAnsi="黑体" w:eastAsia="黑体" w:cs="仿宋_GB2312"/>
          <w:bCs/>
          <w:sz w:val="32"/>
          <w:szCs w:val="32"/>
          <w:lang w:val="en-US" w:eastAsia="zh-CN"/>
        </w:rPr>
        <w:t>二</w:t>
      </w:r>
      <w:r>
        <w:rPr>
          <w:rFonts w:hint="eastAsia" w:ascii="黑体" w:hAnsi="黑体" w:eastAsia="黑体" w:cs="仿宋_GB2312"/>
          <w:bCs/>
          <w:sz w:val="32"/>
          <w:szCs w:val="32"/>
        </w:rPr>
        <w:t>、职教赛道项目评审要点：创业组</w:t>
      </w:r>
    </w:p>
    <w:tbl>
      <w:tblPr>
        <w:tblStyle w:val="7"/>
        <w:tblW w:w="10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17"/>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评审要点</w:t>
            </w:r>
          </w:p>
        </w:tc>
        <w:tc>
          <w:tcPr>
            <w:tcW w:w="7617"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评审内容</w:t>
            </w:r>
          </w:p>
        </w:tc>
        <w:tc>
          <w:tcPr>
            <w:tcW w:w="746" w:type="dxa"/>
            <w:vAlign w:val="center"/>
          </w:tcPr>
          <w:p>
            <w:pPr>
              <w:spacing w:line="560" w:lineRule="exact"/>
              <w:jc w:val="center"/>
              <w:rPr>
                <w:rFonts w:hint="eastAsia" w:ascii="仿宋_GB2312" w:eastAsia="仿宋_GB2312" w:cs="仿宋" w:hAnsiTheme="majorEastAsia"/>
                <w:b/>
                <w:sz w:val="24"/>
                <w:szCs w:val="24"/>
              </w:rPr>
            </w:pPr>
            <w:r>
              <w:rPr>
                <w:rFonts w:hint="eastAsia" w:ascii="仿宋_GB2312" w:eastAsia="仿宋_GB2312" w:cs="仿宋" w:hAnsiTheme="majorEastAsia"/>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商业维度</w:t>
            </w:r>
          </w:p>
        </w:tc>
        <w:tc>
          <w:tcPr>
            <w:tcW w:w="7617" w:type="dxa"/>
            <w:vAlign w:val="center"/>
          </w:tcPr>
          <w:p>
            <w:pPr>
              <w:numPr>
                <w:ilvl w:val="0"/>
                <w:numId w:val="6"/>
              </w:numPr>
              <w:spacing w:line="400" w:lineRule="exact"/>
              <w:jc w:val="left"/>
              <w:rPr>
                <w:rFonts w:hint="eastAsia" w:ascii="仿宋_GB2312" w:eastAsia="仿宋_GB2312" w:cs="仿宋_GB2312"/>
                <w:sz w:val="24"/>
                <w:szCs w:val="24"/>
              </w:rPr>
            </w:pPr>
            <w:r>
              <w:rPr>
                <w:rFonts w:hint="eastAsia" w:ascii="仿宋_GB2312" w:eastAsia="仿宋_GB2312" w:cs="仿宋_GB2312"/>
                <w:sz w:val="24"/>
                <w:szCs w:val="24"/>
              </w:rPr>
              <w:t xml:space="preserve">商业模式设计完整、可行，产品或服务成熟度及市场认可度。 </w:t>
            </w:r>
          </w:p>
          <w:p>
            <w:pPr>
              <w:numPr>
                <w:ilvl w:val="0"/>
                <w:numId w:val="6"/>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经营绩效方面，重点考察项目存续时间、营业收入（合同订单）现状、企业利润、持续盈利能力、市场份额、客户 （用户）情况、税收上缴、投入与产出比等情况。 </w:t>
            </w:r>
          </w:p>
          <w:p>
            <w:pPr>
              <w:numPr>
                <w:ilvl w:val="0"/>
                <w:numId w:val="6"/>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成长性方面，重点考察项目目标市场容量大小及可扩展性，是否有合适的计划和可靠资源（人力资源、资金、技术 等方面）支持其未来持续快速成长。 </w:t>
            </w:r>
          </w:p>
          <w:p>
            <w:pPr>
              <w:numPr>
                <w:ilvl w:val="0"/>
                <w:numId w:val="6"/>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经营管理方面，是否有合理、完备的研发、销售、运营、管理、人力等制度和体系支撑项目发展。 </w:t>
            </w:r>
          </w:p>
          <w:p>
            <w:pPr>
              <w:numPr>
                <w:ilvl w:val="0"/>
                <w:numId w:val="6"/>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 xml:space="preserve">现金流及融资方面，关注项目已获外部投资情况、维持企业正常经营的现金流情况、企业融资需求及资金使用规划 是否合理。 </w:t>
            </w:r>
          </w:p>
          <w:p>
            <w:pPr>
              <w:numPr>
                <w:ilvl w:val="0"/>
                <w:numId w:val="6"/>
              </w:numPr>
              <w:spacing w:line="400" w:lineRule="exact"/>
              <w:jc w:val="left"/>
              <w:rPr>
                <w:rFonts w:ascii="仿宋_GB2312" w:eastAsia="仿宋_GB2312" w:cs="仿宋" w:hAnsiTheme="majorEastAsia"/>
                <w:sz w:val="24"/>
                <w:szCs w:val="24"/>
              </w:rPr>
            </w:pPr>
            <w:r>
              <w:rPr>
                <w:rFonts w:hint="eastAsia" w:ascii="仿宋_GB2312" w:eastAsia="仿宋_GB2312" w:cs="仿宋_GB2312"/>
                <w:sz w:val="24"/>
                <w:szCs w:val="24"/>
              </w:rPr>
              <w:t>项目对相关产业升级或颠覆的情况；项目与区域经济发展、产业转型升级相结合情况</w:t>
            </w:r>
          </w:p>
        </w:tc>
        <w:tc>
          <w:tcPr>
            <w:tcW w:w="746" w:type="dxa"/>
            <w:vAlign w:val="center"/>
          </w:tcPr>
          <w:p>
            <w:pPr>
              <w:spacing w:line="400" w:lineRule="exact"/>
              <w:jc w:val="center"/>
              <w:rPr>
                <w:rFonts w:ascii="仿宋_GB2312" w:eastAsia="仿宋_GB2312" w:cs="仿宋" w:hAnsiTheme="majorEastAsia"/>
                <w:sz w:val="28"/>
                <w:szCs w:val="28"/>
              </w:rPr>
            </w:pPr>
            <w:r>
              <w:rPr>
                <w:rFonts w:ascii="仿宋_GB2312" w:eastAsia="仿宋_GB2312" w:cs="仿宋" w:hAnsiTheme="majorEastAsia"/>
                <w:sz w:val="28"/>
                <w:szCs w:val="28"/>
              </w:rPr>
              <w:t>30</w:t>
            </w:r>
            <w:r>
              <w:rPr>
                <w:rFonts w:hint="eastAsia" w:ascii="仿宋_GB2312" w:eastAsia="仿宋_GB2312" w:cs="仿宋" w:hAnsiTheme="majorEastAsia"/>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团队维度</w:t>
            </w:r>
          </w:p>
        </w:tc>
        <w:tc>
          <w:tcPr>
            <w:tcW w:w="7617" w:type="dxa"/>
            <w:vAlign w:val="center"/>
          </w:tcPr>
          <w:p>
            <w:pPr>
              <w:numPr>
                <w:ilvl w:val="0"/>
                <w:numId w:val="7"/>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团队成员的教育和工作背景、创新能力、价值观念、分工协作和能力互补情况，重点考察成员的投入程度及团队成 员的稳定性。 </w:t>
            </w:r>
          </w:p>
          <w:p>
            <w:pPr>
              <w:numPr>
                <w:ilvl w:val="0"/>
                <w:numId w:val="7"/>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团队的组织构架、股权结构、人员配置以及激励制度合理性情况。 </w:t>
            </w:r>
          </w:p>
          <w:p>
            <w:pPr>
              <w:numPr>
                <w:ilvl w:val="0"/>
                <w:numId w:val="7"/>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支撑项目发展的合作伙伴等外部资源的使用以及与项目关系的情况</w:t>
            </w:r>
            <w:r>
              <w:rPr>
                <w:rFonts w:hint="eastAsia" w:ascii="仿宋_GB2312" w:eastAsia="仿宋_GB2312" w:cs="仿宋" w:hAnsiTheme="majorEastAsia"/>
                <w:sz w:val="24"/>
                <w:szCs w:val="24"/>
                <w:lang w:eastAsia="zh-CN"/>
              </w:rPr>
              <w:t>。</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创新维度</w:t>
            </w:r>
          </w:p>
        </w:tc>
        <w:tc>
          <w:tcPr>
            <w:tcW w:w="7617" w:type="dxa"/>
            <w:vAlign w:val="center"/>
          </w:tcPr>
          <w:p>
            <w:pPr>
              <w:numPr>
                <w:ilvl w:val="0"/>
                <w:numId w:val="8"/>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具有原始创意、创造。 </w:t>
            </w:r>
          </w:p>
          <w:p>
            <w:pPr>
              <w:numPr>
                <w:ilvl w:val="0"/>
                <w:numId w:val="8"/>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具有面向培养“大国工匠”与能工巧匠的创意与创新。 </w:t>
            </w:r>
          </w:p>
          <w:p>
            <w:pPr>
              <w:numPr>
                <w:ilvl w:val="0"/>
                <w:numId w:val="8"/>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项目体现产教融合模式创新、校企合作模式创新、工学一体模式创新。 4.鼓励面向职业和岗位的创意及创新，侧重于加工工艺创新、实用技术创新、产品（技术）改良、应用性优化、民生 类创意等</w:t>
            </w:r>
            <w:r>
              <w:rPr>
                <w:rFonts w:hint="eastAsia" w:ascii="仿宋_GB2312" w:eastAsia="仿宋_GB2312" w:cs="仿宋" w:hAnsiTheme="majorEastAsia"/>
                <w:sz w:val="24"/>
                <w:szCs w:val="24"/>
                <w:lang w:eastAsia="zh-CN"/>
              </w:rPr>
              <w:t>。</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就业维度</w:t>
            </w:r>
          </w:p>
        </w:tc>
        <w:tc>
          <w:tcPr>
            <w:tcW w:w="7617" w:type="dxa"/>
            <w:vAlign w:val="center"/>
          </w:tcPr>
          <w:p>
            <w:pPr>
              <w:numPr>
                <w:ilvl w:val="0"/>
                <w:numId w:val="9"/>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项目直接提供就业岗位的数量和质量。 </w:t>
            </w:r>
          </w:p>
          <w:p>
            <w:pPr>
              <w:numPr>
                <w:ilvl w:val="0"/>
                <w:numId w:val="9"/>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项目间接带动就业的能力和规模。 </w:t>
            </w:r>
          </w:p>
          <w:p>
            <w:pPr>
              <w:numPr>
                <w:ilvl w:val="0"/>
                <w:numId w:val="9"/>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项目创造新就业形态的现实性与可能性情况。</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引领教育</w:t>
            </w:r>
          </w:p>
        </w:tc>
        <w:tc>
          <w:tcPr>
            <w:tcW w:w="7617" w:type="dxa"/>
            <w:vAlign w:val="center"/>
          </w:tcPr>
          <w:p>
            <w:pPr>
              <w:numPr>
                <w:ilvl w:val="0"/>
                <w:numId w:val="10"/>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项目充分体现多学科交叉、专创融合、产学研协同创新等发展模式。 2.突出大赛的育人本质，充分体现项目成长对团队成员创新创业精神、意识、能力的锻炼和提升作用。 </w:t>
            </w:r>
          </w:p>
          <w:p>
            <w:pPr>
              <w:numPr>
                <w:ilvl w:val="0"/>
                <w:numId w:val="10"/>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项目所在院校对项目发展的支持情况或项目与所在院校的互动、合作情况。 </w:t>
            </w:r>
          </w:p>
          <w:p>
            <w:pPr>
              <w:numPr>
                <w:ilvl w:val="0"/>
                <w:numId w:val="10"/>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团队创新创业精神与实践的正向带动和示范作用。</w:t>
            </w:r>
          </w:p>
        </w:tc>
        <w:tc>
          <w:tcPr>
            <w:tcW w:w="746" w:type="dxa"/>
            <w:vAlign w:val="center"/>
          </w:tcPr>
          <w:p>
            <w:pPr>
              <w:spacing w:line="400" w:lineRule="exact"/>
              <w:jc w:val="center"/>
              <w:rPr>
                <w:rFonts w:ascii="仿宋_GB2312" w:eastAsia="仿宋_GB2312" w:cs="仿宋" w:hAnsiTheme="majorEastAsia"/>
                <w:sz w:val="28"/>
                <w:szCs w:val="28"/>
              </w:rPr>
            </w:pPr>
            <w:r>
              <w:rPr>
                <w:rFonts w:hint="eastAsia" w:ascii="仿宋_GB2312" w:eastAsia="仿宋_GB2312" w:cs="仿宋" w:hAnsiTheme="majorEastAsia"/>
                <w:sz w:val="28"/>
                <w:szCs w:val="28"/>
                <w:lang w:val="en-US" w:eastAsia="zh-CN"/>
              </w:rPr>
              <w:t>15</w:t>
            </w:r>
          </w:p>
        </w:tc>
      </w:tr>
    </w:tbl>
    <w:p>
      <w:pPr>
        <w:widowControl/>
      </w:pPr>
      <w:r>
        <w:br w:type="page"/>
      </w:r>
    </w:p>
    <w:p>
      <w:pPr>
        <w:spacing w:line="560" w:lineRule="exact"/>
        <w:jc w:val="left"/>
        <w:rPr>
          <w:rFonts w:hint="eastAsia" w:ascii="黑体" w:hAnsi="黑体" w:eastAsia="黑体" w:cs="仿宋_GB2312"/>
          <w:bCs/>
          <w:sz w:val="32"/>
          <w:szCs w:val="32"/>
          <w:lang w:val="en-US" w:eastAsia="zh-CN"/>
        </w:rPr>
      </w:pPr>
    </w:p>
    <w:p>
      <w:pPr>
        <w:spacing w:line="560" w:lineRule="exact"/>
        <w:jc w:val="left"/>
        <w:rPr>
          <w:rFonts w:hint="eastAsia" w:ascii="黑体" w:hAnsi="黑体" w:eastAsia="黑体" w:cs="仿宋_GB2312"/>
          <w:bCs/>
          <w:sz w:val="32"/>
          <w:szCs w:val="32"/>
        </w:rPr>
      </w:pPr>
      <w:r>
        <w:rPr>
          <w:rFonts w:hint="eastAsia" w:ascii="黑体" w:hAnsi="黑体" w:eastAsia="黑体" w:cs="仿宋_GB2312"/>
          <w:bCs/>
          <w:sz w:val="32"/>
          <w:szCs w:val="32"/>
          <w:lang w:val="en-US" w:eastAsia="zh-CN"/>
        </w:rPr>
        <w:t>三</w:t>
      </w:r>
      <w:r>
        <w:rPr>
          <w:rFonts w:hint="eastAsia" w:ascii="黑体" w:hAnsi="黑体" w:eastAsia="黑体" w:cs="仿宋_GB2312"/>
          <w:bCs/>
          <w:sz w:val="32"/>
          <w:szCs w:val="32"/>
        </w:rPr>
        <w:t>、“青年红色筑梦之旅”赛道项目评审要点：创意组</w:t>
      </w:r>
    </w:p>
    <w:tbl>
      <w:tblPr>
        <w:tblStyle w:val="7"/>
        <w:tblW w:w="10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17"/>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评审要点</w:t>
            </w:r>
          </w:p>
        </w:tc>
        <w:tc>
          <w:tcPr>
            <w:tcW w:w="7617"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评审内容</w:t>
            </w:r>
          </w:p>
        </w:tc>
        <w:tc>
          <w:tcPr>
            <w:tcW w:w="746" w:type="dxa"/>
            <w:vAlign w:val="center"/>
          </w:tcPr>
          <w:p>
            <w:pPr>
              <w:spacing w:line="560" w:lineRule="exact"/>
              <w:jc w:val="center"/>
              <w:rPr>
                <w:rFonts w:hint="eastAsia" w:ascii="仿宋_GB2312" w:eastAsia="仿宋_GB2312" w:cs="仿宋" w:hAnsiTheme="majorEastAsia"/>
                <w:b/>
                <w:sz w:val="24"/>
                <w:szCs w:val="24"/>
              </w:rPr>
            </w:pPr>
            <w:r>
              <w:rPr>
                <w:rFonts w:hint="eastAsia" w:ascii="仿宋_GB2312" w:eastAsia="仿宋_GB2312" w:cs="仿宋" w:hAnsiTheme="majorEastAsia"/>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项目团队</w:t>
            </w:r>
          </w:p>
        </w:tc>
        <w:tc>
          <w:tcPr>
            <w:tcW w:w="7617" w:type="dxa"/>
            <w:vAlign w:val="center"/>
          </w:tcPr>
          <w:p>
            <w:pPr>
              <w:numPr>
                <w:ilvl w:val="0"/>
                <w:numId w:val="1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团队成员的基本素质、业务能力、奉献意愿和价值观与项目需求相匹配。 </w:t>
            </w:r>
          </w:p>
          <w:p>
            <w:pPr>
              <w:numPr>
                <w:ilvl w:val="0"/>
                <w:numId w:val="11"/>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团队的组织架构、股权结构、人员结构与分工协作合理。 </w:t>
            </w:r>
          </w:p>
          <w:p>
            <w:pPr>
              <w:numPr>
                <w:ilvl w:val="0"/>
                <w:numId w:val="11"/>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团队外部资源引用及与项目关系结构清晰，逻辑合理。</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创新性</w:t>
            </w:r>
          </w:p>
        </w:tc>
        <w:tc>
          <w:tcPr>
            <w:tcW w:w="7617" w:type="dxa"/>
            <w:vAlign w:val="center"/>
          </w:tcPr>
          <w:p>
            <w:pPr>
              <w:numPr>
                <w:ilvl w:val="0"/>
                <w:numId w:val="12"/>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鼓励高校科研成果和文创成果在乡村或社区进行产业转化落地与实践应用。 </w:t>
            </w:r>
          </w:p>
          <w:p>
            <w:pPr>
              <w:numPr>
                <w:ilvl w:val="0"/>
                <w:numId w:val="12"/>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鼓励技术或服务创新、引入或运用新技术在乡村和社区生产生活中的实践应用。 </w:t>
            </w:r>
          </w:p>
          <w:p>
            <w:pPr>
              <w:numPr>
                <w:ilvl w:val="0"/>
                <w:numId w:val="12"/>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鼓励组织和协作模式的创新或进行资源有效性优化和整合。</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实效性</w:t>
            </w:r>
          </w:p>
        </w:tc>
        <w:tc>
          <w:tcPr>
            <w:tcW w:w="7617" w:type="dxa"/>
            <w:vAlign w:val="center"/>
          </w:tcPr>
          <w:p>
            <w:pPr>
              <w:numPr>
                <w:numId w:val="0"/>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lang w:val="en-US" w:eastAsia="zh-CN"/>
              </w:rPr>
              <w:t>1.</w:t>
            </w:r>
            <w:r>
              <w:rPr>
                <w:rFonts w:hint="eastAsia" w:ascii="仿宋_GB2312" w:eastAsia="仿宋_GB2312" w:cs="仿宋" w:hAnsiTheme="majorEastAsia"/>
                <w:sz w:val="24"/>
                <w:szCs w:val="24"/>
              </w:rPr>
              <w:t>项目商业模式设计完整、可行，产品或服务对巩固脱贫攻坚成果、乡村振兴和社区治理等社会问题的贡献度。</w:t>
            </w:r>
          </w:p>
          <w:p>
            <w:pPr>
              <w:numPr>
                <w:numId w:val="0"/>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lang w:val="en-US" w:eastAsia="zh-CN"/>
              </w:rPr>
              <w:t>2.</w:t>
            </w:r>
            <w:r>
              <w:rPr>
                <w:rFonts w:hint="eastAsia" w:ascii="仿宋_GB2312" w:eastAsia="仿宋_GB2312" w:cs="仿宋" w:hAnsiTheme="majorEastAsia"/>
                <w:sz w:val="24"/>
                <w:szCs w:val="24"/>
              </w:rPr>
              <w:t>项目对农民增收、农村组织、社区服务和地方产业结构优化的效果。 3.项目对促进文化、教育、医疗、养老、环境保护与生态建设等方面的效果</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可持续性</w:t>
            </w:r>
          </w:p>
        </w:tc>
        <w:tc>
          <w:tcPr>
            <w:tcW w:w="7617" w:type="dxa"/>
            <w:vAlign w:val="center"/>
          </w:tcPr>
          <w:p>
            <w:pPr>
              <w:numPr>
                <w:ilvl w:val="0"/>
                <w:numId w:val="13"/>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项目的持续生存能力，在创新研发、生产销售、资源整合等方面具备良性成长能力。 </w:t>
            </w:r>
          </w:p>
          <w:p>
            <w:pPr>
              <w:numPr>
                <w:ilvl w:val="0"/>
                <w:numId w:val="13"/>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项目具备模式可复制性、产业可推广性、成果可示范性等。 </w:t>
            </w:r>
          </w:p>
          <w:p>
            <w:pPr>
              <w:numPr>
                <w:ilvl w:val="0"/>
                <w:numId w:val="13"/>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项目的成长与区域经济发展、地方产业升级高度融合，经济价值和社会价值适度融合</w:t>
            </w:r>
            <w:r>
              <w:rPr>
                <w:rFonts w:hint="eastAsia" w:ascii="仿宋_GB2312" w:eastAsia="仿宋_GB2312" w:cs="仿宋" w:hAnsiTheme="majorEastAsia"/>
                <w:sz w:val="24"/>
                <w:szCs w:val="24"/>
                <w:lang w:eastAsia="zh-CN"/>
              </w:rPr>
              <w:t>。</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带动就业</w:t>
            </w:r>
          </w:p>
        </w:tc>
        <w:tc>
          <w:tcPr>
            <w:tcW w:w="7617" w:type="dxa"/>
            <w:vAlign w:val="center"/>
          </w:tcPr>
          <w:p>
            <w:pPr>
              <w:numPr>
                <w:ilvl w:val="0"/>
                <w:numId w:val="14"/>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项目直接提供就业岗位的数量和质量。 </w:t>
            </w:r>
          </w:p>
          <w:p>
            <w:pPr>
              <w:numPr>
                <w:ilvl w:val="0"/>
                <w:numId w:val="14"/>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项目间接带动就业的能力和规模。</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hint="eastAsia" w:ascii="仿宋_GB2312" w:eastAsia="仿宋_GB2312" w:cs="仿宋" w:hAnsiTheme="majorEastAsia"/>
                <w:sz w:val="24"/>
                <w:szCs w:val="24"/>
              </w:rPr>
            </w:pPr>
            <w:r>
              <w:rPr>
                <w:rFonts w:hint="eastAsia" w:ascii="仿宋_GB2312" w:eastAsia="仿宋_GB2312" w:cs="仿宋" w:hAnsiTheme="majorEastAsia"/>
                <w:sz w:val="24"/>
                <w:szCs w:val="24"/>
              </w:rPr>
              <w:t>引领教育</w:t>
            </w:r>
          </w:p>
        </w:tc>
        <w:tc>
          <w:tcPr>
            <w:tcW w:w="7617" w:type="dxa"/>
            <w:vAlign w:val="center"/>
          </w:tcPr>
          <w:p>
            <w:pPr>
              <w:numPr>
                <w:ilvl w:val="0"/>
                <w:numId w:val="1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项目充分展示了创业团队扎根中国大地了解国情民情，运用创新思维和创业能力服务社会。 </w:t>
            </w:r>
          </w:p>
          <w:p>
            <w:pPr>
              <w:numPr>
                <w:ilvl w:val="0"/>
                <w:numId w:val="1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项目充分体现专业教育与创新创业教育的有机融合，充分体现思政教育与创新创业教育的有机融合。 </w:t>
            </w:r>
          </w:p>
          <w:p>
            <w:pPr>
              <w:numPr>
                <w:ilvl w:val="0"/>
                <w:numId w:val="1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突出大赛的育人本质，充分体现项目成长对团队成员的社会责任感、创新精神、实践能力的锻炼和提升作用。 </w:t>
            </w:r>
          </w:p>
          <w:p>
            <w:pPr>
              <w:numPr>
                <w:ilvl w:val="0"/>
                <w:numId w:val="1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项目所在院校对项目发展的支持情况或项目与所在院校的互动、合作情况。 </w:t>
            </w:r>
          </w:p>
          <w:p>
            <w:pPr>
              <w:numPr>
                <w:ilvl w:val="0"/>
                <w:numId w:val="15"/>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团队创新创业、社会服务精神的正向带动和示范作用</w:t>
            </w:r>
            <w:r>
              <w:rPr>
                <w:rFonts w:hint="eastAsia" w:ascii="仿宋_GB2312" w:eastAsia="仿宋_GB2312" w:cs="仿宋" w:hAnsiTheme="majorEastAsia"/>
                <w:sz w:val="24"/>
                <w:szCs w:val="24"/>
                <w:lang w:eastAsia="zh-CN"/>
              </w:rPr>
              <w:t>。</w:t>
            </w:r>
            <w:bookmarkStart w:id="1" w:name="_GoBack"/>
            <w:bookmarkEnd w:id="1"/>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15</w:t>
            </w:r>
          </w:p>
        </w:tc>
      </w:tr>
    </w:tbl>
    <w:p>
      <w:pPr>
        <w:widowControl/>
      </w:pPr>
      <w:r>
        <w:br w:type="page"/>
      </w:r>
    </w:p>
    <w:p>
      <w:pPr>
        <w:spacing w:line="560" w:lineRule="exact"/>
        <w:jc w:val="left"/>
        <w:rPr>
          <w:rFonts w:hint="eastAsia" w:ascii="黑体" w:hAnsi="黑体" w:eastAsia="黑体" w:cs="仿宋_GB2312"/>
          <w:bCs/>
          <w:sz w:val="32"/>
          <w:szCs w:val="32"/>
          <w:lang w:val="en-US" w:eastAsia="zh-CN"/>
        </w:rPr>
      </w:pPr>
    </w:p>
    <w:p>
      <w:pPr>
        <w:spacing w:line="560" w:lineRule="exact"/>
        <w:jc w:val="left"/>
        <w:rPr>
          <w:rFonts w:hint="eastAsia" w:ascii="黑体" w:hAnsi="黑体" w:eastAsia="黑体" w:cs="仿宋_GB2312"/>
          <w:bCs/>
          <w:sz w:val="32"/>
          <w:szCs w:val="32"/>
        </w:rPr>
      </w:pPr>
      <w:r>
        <w:rPr>
          <w:rFonts w:hint="eastAsia" w:ascii="黑体" w:hAnsi="黑体" w:eastAsia="黑体" w:cs="仿宋_GB2312"/>
          <w:bCs/>
          <w:sz w:val="32"/>
          <w:szCs w:val="32"/>
          <w:lang w:val="en-US" w:eastAsia="zh-CN"/>
        </w:rPr>
        <w:t>四</w:t>
      </w:r>
      <w:r>
        <w:rPr>
          <w:rFonts w:hint="eastAsia" w:ascii="黑体" w:hAnsi="黑体" w:eastAsia="黑体" w:cs="仿宋_GB2312"/>
          <w:bCs/>
          <w:sz w:val="32"/>
          <w:szCs w:val="32"/>
        </w:rPr>
        <w:t>、“青年红色筑梦之旅”赛道项目评审要点：创业组</w:t>
      </w:r>
    </w:p>
    <w:tbl>
      <w:tblPr>
        <w:tblStyle w:val="7"/>
        <w:tblW w:w="10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17"/>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评审要点</w:t>
            </w:r>
          </w:p>
        </w:tc>
        <w:tc>
          <w:tcPr>
            <w:tcW w:w="7617" w:type="dxa"/>
            <w:vAlign w:val="center"/>
          </w:tcPr>
          <w:p>
            <w:pPr>
              <w:spacing w:line="560" w:lineRule="exact"/>
              <w:jc w:val="center"/>
              <w:rPr>
                <w:rFonts w:ascii="仿宋_GB2312" w:eastAsia="仿宋_GB2312" w:cs="仿宋" w:hAnsiTheme="majorEastAsia"/>
                <w:b/>
                <w:sz w:val="24"/>
                <w:szCs w:val="24"/>
              </w:rPr>
            </w:pPr>
            <w:r>
              <w:rPr>
                <w:rFonts w:hint="eastAsia" w:ascii="仿宋_GB2312" w:eastAsia="仿宋_GB2312" w:cs="仿宋" w:hAnsiTheme="majorEastAsia"/>
                <w:b/>
                <w:sz w:val="24"/>
                <w:szCs w:val="24"/>
              </w:rPr>
              <w:t>评审内容</w:t>
            </w:r>
          </w:p>
        </w:tc>
        <w:tc>
          <w:tcPr>
            <w:tcW w:w="746" w:type="dxa"/>
            <w:vAlign w:val="center"/>
          </w:tcPr>
          <w:p>
            <w:pPr>
              <w:spacing w:line="560" w:lineRule="exact"/>
              <w:jc w:val="center"/>
              <w:rPr>
                <w:rFonts w:hint="eastAsia" w:ascii="仿宋_GB2312" w:eastAsia="仿宋_GB2312" w:cs="仿宋" w:hAnsiTheme="majorEastAsia"/>
                <w:b/>
                <w:sz w:val="24"/>
                <w:szCs w:val="24"/>
              </w:rPr>
            </w:pPr>
            <w:r>
              <w:rPr>
                <w:rFonts w:hint="eastAsia" w:ascii="仿宋_GB2312" w:eastAsia="仿宋_GB2312" w:cs="仿宋" w:hAnsiTheme="majorEastAsia"/>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项目团队</w:t>
            </w:r>
          </w:p>
        </w:tc>
        <w:tc>
          <w:tcPr>
            <w:tcW w:w="7617" w:type="dxa"/>
            <w:vAlign w:val="center"/>
          </w:tcPr>
          <w:p>
            <w:pPr>
              <w:numPr>
                <w:ilvl w:val="0"/>
                <w:numId w:val="16"/>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团队成员的基本素质、业务能力、奉献意愿和价值观与项目需求相匹配。 </w:t>
            </w:r>
          </w:p>
          <w:p>
            <w:pPr>
              <w:numPr>
                <w:ilvl w:val="0"/>
                <w:numId w:val="16"/>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团队的组织架构与分工协作合理。 </w:t>
            </w:r>
          </w:p>
          <w:p>
            <w:pPr>
              <w:numPr>
                <w:ilvl w:val="0"/>
                <w:numId w:val="16"/>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团队权益结构或公司股权结构合理。</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实效性</w:t>
            </w:r>
          </w:p>
        </w:tc>
        <w:tc>
          <w:tcPr>
            <w:tcW w:w="7617" w:type="dxa"/>
            <w:vAlign w:val="center"/>
          </w:tcPr>
          <w:p>
            <w:pPr>
              <w:numPr>
                <w:ilvl w:val="0"/>
                <w:numId w:val="17"/>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项目商业模式设计完整、可行，产品或服务对巩固脱贫攻坚效果、乡村振兴和社区治理等社会问题的贡献度。 </w:t>
            </w:r>
          </w:p>
          <w:p>
            <w:pPr>
              <w:numPr>
                <w:ilvl w:val="0"/>
                <w:numId w:val="17"/>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在引入社会资源方面对农村组织和农民增收、地方产业结构优化的效果。 </w:t>
            </w:r>
          </w:p>
          <w:p>
            <w:pPr>
              <w:numPr>
                <w:ilvl w:val="0"/>
                <w:numId w:val="17"/>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项目对促进文化、教育、医疗、养老、环境保护与生态建设等方面的效果。 </w:t>
            </w:r>
          </w:p>
          <w:p>
            <w:pPr>
              <w:numPr>
                <w:ilvl w:val="0"/>
                <w:numId w:val="17"/>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项目的成长性与区域经济发展、产业转型升级相结合</w:t>
            </w:r>
            <w:r>
              <w:rPr>
                <w:rFonts w:hint="eastAsia" w:ascii="仿宋_GB2312" w:eastAsia="仿宋_GB2312" w:cs="仿宋" w:hAnsiTheme="majorEastAsia"/>
                <w:sz w:val="24"/>
                <w:szCs w:val="24"/>
                <w:lang w:eastAsia="zh-CN"/>
              </w:rPr>
              <w:t>。</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创新性</w:t>
            </w:r>
          </w:p>
        </w:tc>
        <w:tc>
          <w:tcPr>
            <w:tcW w:w="7617" w:type="dxa"/>
            <w:vAlign w:val="center"/>
          </w:tcPr>
          <w:p>
            <w:pPr>
              <w:numPr>
                <w:ilvl w:val="0"/>
                <w:numId w:val="18"/>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鼓励技术或服务创新、引入或运用新技术，鼓励高校科研成果转化。 2.</w:t>
            </w:r>
            <w:r>
              <w:rPr>
                <w:rFonts w:hint="eastAsia" w:ascii="仿宋_GB2312" w:eastAsia="仿宋_GB2312" w:cs="仿宋" w:hAnsiTheme="majorEastAsia"/>
                <w:sz w:val="24"/>
                <w:szCs w:val="24"/>
                <w:lang w:val="en-US" w:eastAsia="zh-CN"/>
              </w:rPr>
              <w:t xml:space="preserve"> </w:t>
            </w:r>
            <w:r>
              <w:rPr>
                <w:rFonts w:hint="eastAsia" w:ascii="仿宋_GB2312" w:eastAsia="仿宋_GB2312" w:cs="仿宋" w:hAnsiTheme="majorEastAsia"/>
                <w:sz w:val="24"/>
                <w:szCs w:val="24"/>
              </w:rPr>
              <w:t xml:space="preserve">鼓励在生产、服务、营销等方面创新。 </w:t>
            </w:r>
          </w:p>
          <w:p>
            <w:pPr>
              <w:numPr>
                <w:ilvl w:val="0"/>
                <w:numId w:val="18"/>
              </w:numPr>
              <w:spacing w:line="400" w:lineRule="exact"/>
              <w:ind w:left="0" w:leftChars="0" w:firstLine="0" w:firstLineChars="0"/>
              <w:jc w:val="left"/>
              <w:rPr>
                <w:rFonts w:ascii="仿宋_GB2312" w:eastAsia="仿宋_GB2312" w:cs="仿宋" w:hAnsiTheme="majorEastAsia"/>
                <w:sz w:val="24"/>
                <w:szCs w:val="24"/>
              </w:rPr>
            </w:pPr>
            <w:r>
              <w:rPr>
                <w:rFonts w:hint="eastAsia" w:ascii="仿宋_GB2312" w:eastAsia="仿宋_GB2312" w:cs="仿宋" w:hAnsiTheme="majorEastAsia"/>
                <w:sz w:val="24"/>
                <w:szCs w:val="24"/>
              </w:rPr>
              <w:t>鼓励组织模式创新或进行资源整合</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可持续性</w:t>
            </w:r>
          </w:p>
        </w:tc>
        <w:tc>
          <w:tcPr>
            <w:tcW w:w="7617" w:type="dxa"/>
            <w:vAlign w:val="center"/>
          </w:tcPr>
          <w:p>
            <w:pPr>
              <w:numPr>
                <w:ilvl w:val="0"/>
                <w:numId w:val="19"/>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项目的持续生存能力。 </w:t>
            </w:r>
          </w:p>
          <w:p>
            <w:pPr>
              <w:numPr>
                <w:ilvl w:val="0"/>
                <w:numId w:val="19"/>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 xml:space="preserve">经济价值和社会价值适度融合。 </w:t>
            </w:r>
          </w:p>
          <w:p>
            <w:pPr>
              <w:numPr>
                <w:ilvl w:val="0"/>
                <w:numId w:val="19"/>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创新研发、生产销售、资源整合等持续运营能力。</w:t>
            </w:r>
          </w:p>
          <w:p>
            <w:pPr>
              <w:numPr>
                <w:ilvl w:val="0"/>
                <w:numId w:val="19"/>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项目模式可复制、可推广，具有示范效应。</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ascii="仿宋_GB2312" w:eastAsia="仿宋_GB2312" w:cs="仿宋" w:hAnsiTheme="majorEastAsia"/>
                <w:sz w:val="24"/>
                <w:szCs w:val="24"/>
              </w:rPr>
            </w:pPr>
            <w:r>
              <w:rPr>
                <w:rFonts w:hint="eastAsia" w:ascii="仿宋_GB2312" w:eastAsia="仿宋_GB2312" w:cs="仿宋" w:hAnsiTheme="majorEastAsia"/>
                <w:sz w:val="24"/>
                <w:szCs w:val="24"/>
              </w:rPr>
              <w:t>带动就业</w:t>
            </w:r>
          </w:p>
        </w:tc>
        <w:tc>
          <w:tcPr>
            <w:tcW w:w="7617" w:type="dxa"/>
            <w:vAlign w:val="center"/>
          </w:tcPr>
          <w:p>
            <w:pPr>
              <w:numPr>
                <w:ilvl w:val="0"/>
                <w:numId w:val="20"/>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项目直接提供就业岗位的数量和质量。 </w:t>
            </w:r>
          </w:p>
          <w:p>
            <w:pPr>
              <w:numPr>
                <w:ilvl w:val="0"/>
                <w:numId w:val="20"/>
              </w:numPr>
              <w:spacing w:line="400" w:lineRule="exact"/>
              <w:jc w:val="left"/>
              <w:rPr>
                <w:rFonts w:ascii="仿宋_GB2312" w:eastAsia="仿宋_GB2312" w:cs="仿宋" w:hAnsiTheme="majorEastAsia"/>
                <w:sz w:val="24"/>
                <w:szCs w:val="24"/>
              </w:rPr>
            </w:pPr>
            <w:r>
              <w:rPr>
                <w:rFonts w:hint="eastAsia" w:ascii="仿宋_GB2312" w:eastAsia="仿宋_GB2312" w:cs="仿宋" w:hAnsiTheme="majorEastAsia"/>
                <w:sz w:val="24"/>
                <w:szCs w:val="24"/>
              </w:rPr>
              <w:t>项目间接带动就业的能力和规模。</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vAlign w:val="center"/>
          </w:tcPr>
          <w:p>
            <w:pPr>
              <w:spacing w:line="400" w:lineRule="exact"/>
              <w:jc w:val="center"/>
              <w:rPr>
                <w:rFonts w:hint="eastAsia" w:ascii="仿宋_GB2312" w:eastAsia="仿宋_GB2312" w:cs="仿宋" w:hAnsiTheme="majorEastAsia"/>
                <w:sz w:val="24"/>
                <w:szCs w:val="24"/>
              </w:rPr>
            </w:pPr>
            <w:r>
              <w:rPr>
                <w:rFonts w:hint="eastAsia" w:ascii="仿宋_GB2312" w:eastAsia="仿宋_GB2312" w:cs="仿宋" w:hAnsiTheme="majorEastAsia"/>
                <w:sz w:val="24"/>
                <w:szCs w:val="24"/>
              </w:rPr>
              <w:t>引领教育</w:t>
            </w:r>
          </w:p>
        </w:tc>
        <w:tc>
          <w:tcPr>
            <w:tcW w:w="7617" w:type="dxa"/>
            <w:vAlign w:val="center"/>
          </w:tcPr>
          <w:p>
            <w:pPr>
              <w:numPr>
                <w:ilvl w:val="0"/>
                <w:numId w:val="2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项目充分展示了创业团队扎根中国大地了解国情民情，运用创新思维和创业能力服务社会。 </w:t>
            </w:r>
          </w:p>
          <w:p>
            <w:pPr>
              <w:numPr>
                <w:ilvl w:val="0"/>
                <w:numId w:val="2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项目充分体现专业教育与创新创业教育的有机融合，充分体现思政教育与创新创业教育的有机融合。 </w:t>
            </w:r>
          </w:p>
          <w:p>
            <w:pPr>
              <w:numPr>
                <w:ilvl w:val="0"/>
                <w:numId w:val="2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突出大赛的育人本质，充分体现项目成长对团队成员的社会责任感、创新精神、实践能力的锻炼和提升作用。 </w:t>
            </w:r>
          </w:p>
          <w:p>
            <w:pPr>
              <w:numPr>
                <w:ilvl w:val="0"/>
                <w:numId w:val="2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项目所在院校对项目发展的支持情况或项目与所在院校的互动、合作情况。</w:t>
            </w:r>
          </w:p>
          <w:p>
            <w:pPr>
              <w:numPr>
                <w:ilvl w:val="0"/>
                <w:numId w:val="21"/>
              </w:numPr>
              <w:spacing w:line="400" w:lineRule="exact"/>
              <w:jc w:val="left"/>
              <w:rPr>
                <w:rFonts w:hint="eastAsia" w:ascii="仿宋_GB2312" w:eastAsia="仿宋_GB2312" w:cs="仿宋" w:hAnsiTheme="majorEastAsia"/>
                <w:sz w:val="24"/>
                <w:szCs w:val="24"/>
              </w:rPr>
            </w:pPr>
            <w:r>
              <w:rPr>
                <w:rFonts w:hint="eastAsia" w:ascii="仿宋_GB2312" w:eastAsia="仿宋_GB2312" w:cs="仿宋" w:hAnsiTheme="majorEastAsia"/>
                <w:sz w:val="24"/>
                <w:szCs w:val="24"/>
              </w:rPr>
              <w:t xml:space="preserve">团队创新创业、社会服务精神的正向带动和示范作用。 </w:t>
            </w:r>
          </w:p>
        </w:tc>
        <w:tc>
          <w:tcPr>
            <w:tcW w:w="746" w:type="dxa"/>
            <w:vAlign w:val="center"/>
          </w:tcPr>
          <w:p>
            <w:pPr>
              <w:spacing w:line="400" w:lineRule="exact"/>
              <w:jc w:val="center"/>
              <w:rPr>
                <w:rFonts w:hint="default" w:ascii="仿宋_GB2312" w:eastAsia="仿宋_GB2312" w:cs="仿宋" w:hAnsiTheme="majorEastAsia"/>
                <w:sz w:val="28"/>
                <w:szCs w:val="28"/>
                <w:lang w:val="en-US" w:eastAsia="zh-CN"/>
              </w:rPr>
            </w:pPr>
            <w:r>
              <w:rPr>
                <w:rFonts w:hint="eastAsia" w:ascii="仿宋_GB2312" w:eastAsia="仿宋_GB2312" w:cs="仿宋" w:hAnsiTheme="majorEastAsia"/>
                <w:sz w:val="28"/>
                <w:szCs w:val="28"/>
                <w:lang w:val="en-US" w:eastAsia="zh-CN"/>
              </w:rPr>
              <w:t>15</w:t>
            </w:r>
          </w:p>
        </w:tc>
      </w:tr>
    </w:tbl>
    <w:p/>
    <w:sectPr>
      <w:footerReference r:id="rId3" w:type="default"/>
      <w:pgSz w:w="11906" w:h="16838"/>
      <w:pgMar w:top="851" w:right="1797" w:bottom="1276" w:left="179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974277"/>
      <w:docPartObj>
        <w:docPartGallery w:val="autotext"/>
      </w:docPartObj>
    </w:sdtPr>
    <w:sdtContent>
      <w:p>
        <w:pPr>
          <w:pStyle w:val="4"/>
          <w:jc w:val="center"/>
        </w:pPr>
        <w:r>
          <w:fldChar w:fldCharType="begin"/>
        </w:r>
        <w:r>
          <w:instrText xml:space="preserve">PAGE   \* MERGEFORMAT</w:instrText>
        </w:r>
        <w:r>
          <w:fldChar w:fldCharType="separate"/>
        </w:r>
        <w:r>
          <w:rPr>
            <w:lang w:val="zh-CN"/>
          </w:rPr>
          <w:t>9</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3003C"/>
    <w:multiLevelType w:val="singleLevel"/>
    <w:tmpl w:val="8563003C"/>
    <w:lvl w:ilvl="0" w:tentative="0">
      <w:start w:val="1"/>
      <w:numFmt w:val="decimal"/>
      <w:lvlText w:val="%1."/>
      <w:lvlJc w:val="left"/>
      <w:pPr>
        <w:tabs>
          <w:tab w:val="left" w:pos="312"/>
        </w:tabs>
      </w:pPr>
    </w:lvl>
  </w:abstractNum>
  <w:abstractNum w:abstractNumId="1">
    <w:nsid w:val="8EE1973A"/>
    <w:multiLevelType w:val="singleLevel"/>
    <w:tmpl w:val="8EE1973A"/>
    <w:lvl w:ilvl="0" w:tentative="0">
      <w:start w:val="1"/>
      <w:numFmt w:val="decimal"/>
      <w:lvlText w:val="%1."/>
      <w:lvlJc w:val="left"/>
      <w:pPr>
        <w:tabs>
          <w:tab w:val="left" w:pos="312"/>
        </w:tabs>
      </w:pPr>
    </w:lvl>
  </w:abstractNum>
  <w:abstractNum w:abstractNumId="2">
    <w:nsid w:val="99F16697"/>
    <w:multiLevelType w:val="singleLevel"/>
    <w:tmpl w:val="99F16697"/>
    <w:lvl w:ilvl="0" w:tentative="0">
      <w:start w:val="1"/>
      <w:numFmt w:val="decimal"/>
      <w:lvlText w:val="%1."/>
      <w:lvlJc w:val="left"/>
      <w:pPr>
        <w:tabs>
          <w:tab w:val="left" w:pos="312"/>
        </w:tabs>
      </w:pPr>
    </w:lvl>
  </w:abstractNum>
  <w:abstractNum w:abstractNumId="3">
    <w:nsid w:val="A1455BA5"/>
    <w:multiLevelType w:val="singleLevel"/>
    <w:tmpl w:val="A1455BA5"/>
    <w:lvl w:ilvl="0" w:tentative="0">
      <w:start w:val="1"/>
      <w:numFmt w:val="decimal"/>
      <w:lvlText w:val="%1."/>
      <w:lvlJc w:val="left"/>
      <w:pPr>
        <w:tabs>
          <w:tab w:val="left" w:pos="312"/>
        </w:tabs>
      </w:pPr>
    </w:lvl>
  </w:abstractNum>
  <w:abstractNum w:abstractNumId="4">
    <w:nsid w:val="A6CAC7D7"/>
    <w:multiLevelType w:val="singleLevel"/>
    <w:tmpl w:val="A6CAC7D7"/>
    <w:lvl w:ilvl="0" w:tentative="0">
      <w:start w:val="1"/>
      <w:numFmt w:val="decimal"/>
      <w:lvlText w:val="%1."/>
      <w:lvlJc w:val="left"/>
      <w:pPr>
        <w:tabs>
          <w:tab w:val="left" w:pos="312"/>
        </w:tabs>
      </w:pPr>
    </w:lvl>
  </w:abstractNum>
  <w:abstractNum w:abstractNumId="5">
    <w:nsid w:val="AB329058"/>
    <w:multiLevelType w:val="singleLevel"/>
    <w:tmpl w:val="AB329058"/>
    <w:lvl w:ilvl="0" w:tentative="0">
      <w:start w:val="1"/>
      <w:numFmt w:val="decimal"/>
      <w:lvlText w:val="%1."/>
      <w:lvlJc w:val="left"/>
      <w:pPr>
        <w:tabs>
          <w:tab w:val="left" w:pos="312"/>
        </w:tabs>
      </w:pPr>
    </w:lvl>
  </w:abstractNum>
  <w:abstractNum w:abstractNumId="6">
    <w:nsid w:val="C9F73E01"/>
    <w:multiLevelType w:val="singleLevel"/>
    <w:tmpl w:val="C9F73E01"/>
    <w:lvl w:ilvl="0" w:tentative="0">
      <w:start w:val="1"/>
      <w:numFmt w:val="decimal"/>
      <w:lvlText w:val="%1."/>
      <w:lvlJc w:val="left"/>
      <w:pPr>
        <w:tabs>
          <w:tab w:val="left" w:pos="312"/>
        </w:tabs>
      </w:pPr>
    </w:lvl>
  </w:abstractNum>
  <w:abstractNum w:abstractNumId="7">
    <w:nsid w:val="CA56DF3F"/>
    <w:multiLevelType w:val="singleLevel"/>
    <w:tmpl w:val="CA56DF3F"/>
    <w:lvl w:ilvl="0" w:tentative="0">
      <w:start w:val="1"/>
      <w:numFmt w:val="decimal"/>
      <w:lvlText w:val="%1."/>
      <w:lvlJc w:val="left"/>
      <w:pPr>
        <w:tabs>
          <w:tab w:val="left" w:pos="312"/>
        </w:tabs>
      </w:pPr>
    </w:lvl>
  </w:abstractNum>
  <w:abstractNum w:abstractNumId="8">
    <w:nsid w:val="D3AED2A4"/>
    <w:multiLevelType w:val="singleLevel"/>
    <w:tmpl w:val="D3AED2A4"/>
    <w:lvl w:ilvl="0" w:tentative="0">
      <w:start w:val="1"/>
      <w:numFmt w:val="decimal"/>
      <w:lvlText w:val="%1."/>
      <w:lvlJc w:val="left"/>
      <w:pPr>
        <w:tabs>
          <w:tab w:val="left" w:pos="312"/>
        </w:tabs>
      </w:pPr>
    </w:lvl>
  </w:abstractNum>
  <w:abstractNum w:abstractNumId="9">
    <w:nsid w:val="D6A29BED"/>
    <w:multiLevelType w:val="singleLevel"/>
    <w:tmpl w:val="D6A29BED"/>
    <w:lvl w:ilvl="0" w:tentative="0">
      <w:start w:val="1"/>
      <w:numFmt w:val="decimal"/>
      <w:lvlText w:val="%1."/>
      <w:lvlJc w:val="left"/>
      <w:pPr>
        <w:tabs>
          <w:tab w:val="left" w:pos="312"/>
        </w:tabs>
      </w:pPr>
    </w:lvl>
  </w:abstractNum>
  <w:abstractNum w:abstractNumId="10">
    <w:nsid w:val="DACDF218"/>
    <w:multiLevelType w:val="singleLevel"/>
    <w:tmpl w:val="DACDF218"/>
    <w:lvl w:ilvl="0" w:tentative="0">
      <w:start w:val="1"/>
      <w:numFmt w:val="decimal"/>
      <w:lvlText w:val="%1."/>
      <w:lvlJc w:val="left"/>
      <w:pPr>
        <w:tabs>
          <w:tab w:val="left" w:pos="312"/>
        </w:tabs>
      </w:pPr>
    </w:lvl>
  </w:abstractNum>
  <w:abstractNum w:abstractNumId="11">
    <w:nsid w:val="DFD6D3C3"/>
    <w:multiLevelType w:val="singleLevel"/>
    <w:tmpl w:val="DFD6D3C3"/>
    <w:lvl w:ilvl="0" w:tentative="0">
      <w:start w:val="1"/>
      <w:numFmt w:val="decimal"/>
      <w:lvlText w:val="%1."/>
      <w:lvlJc w:val="left"/>
      <w:pPr>
        <w:tabs>
          <w:tab w:val="left" w:pos="312"/>
        </w:tabs>
      </w:pPr>
    </w:lvl>
  </w:abstractNum>
  <w:abstractNum w:abstractNumId="12">
    <w:nsid w:val="F7F0CEFA"/>
    <w:multiLevelType w:val="singleLevel"/>
    <w:tmpl w:val="F7F0CEFA"/>
    <w:lvl w:ilvl="0" w:tentative="0">
      <w:start w:val="1"/>
      <w:numFmt w:val="decimal"/>
      <w:lvlText w:val="%1."/>
      <w:lvlJc w:val="left"/>
      <w:pPr>
        <w:tabs>
          <w:tab w:val="left" w:pos="312"/>
        </w:tabs>
      </w:pPr>
    </w:lvl>
  </w:abstractNum>
  <w:abstractNum w:abstractNumId="13">
    <w:nsid w:val="F8106E7B"/>
    <w:multiLevelType w:val="singleLevel"/>
    <w:tmpl w:val="F8106E7B"/>
    <w:lvl w:ilvl="0" w:tentative="0">
      <w:start w:val="1"/>
      <w:numFmt w:val="decimal"/>
      <w:lvlText w:val="%1."/>
      <w:lvlJc w:val="left"/>
      <w:pPr>
        <w:tabs>
          <w:tab w:val="left" w:pos="312"/>
        </w:tabs>
      </w:pPr>
    </w:lvl>
  </w:abstractNum>
  <w:abstractNum w:abstractNumId="14">
    <w:nsid w:val="0DF60BC6"/>
    <w:multiLevelType w:val="singleLevel"/>
    <w:tmpl w:val="0DF60BC6"/>
    <w:lvl w:ilvl="0" w:tentative="0">
      <w:start w:val="1"/>
      <w:numFmt w:val="decimal"/>
      <w:lvlText w:val="%1."/>
      <w:lvlJc w:val="left"/>
      <w:pPr>
        <w:tabs>
          <w:tab w:val="left" w:pos="312"/>
        </w:tabs>
      </w:pPr>
    </w:lvl>
  </w:abstractNum>
  <w:abstractNum w:abstractNumId="15">
    <w:nsid w:val="4CDE6E86"/>
    <w:multiLevelType w:val="singleLevel"/>
    <w:tmpl w:val="4CDE6E86"/>
    <w:lvl w:ilvl="0" w:tentative="0">
      <w:start w:val="1"/>
      <w:numFmt w:val="decimal"/>
      <w:lvlText w:val="%1."/>
      <w:lvlJc w:val="left"/>
      <w:pPr>
        <w:tabs>
          <w:tab w:val="left" w:pos="312"/>
        </w:tabs>
      </w:pPr>
    </w:lvl>
  </w:abstractNum>
  <w:abstractNum w:abstractNumId="16">
    <w:nsid w:val="4D6BD938"/>
    <w:multiLevelType w:val="singleLevel"/>
    <w:tmpl w:val="4D6BD938"/>
    <w:lvl w:ilvl="0" w:tentative="0">
      <w:start w:val="1"/>
      <w:numFmt w:val="decimal"/>
      <w:lvlText w:val="%1."/>
      <w:lvlJc w:val="left"/>
      <w:pPr>
        <w:tabs>
          <w:tab w:val="left" w:pos="312"/>
        </w:tabs>
      </w:pPr>
    </w:lvl>
  </w:abstractNum>
  <w:abstractNum w:abstractNumId="17">
    <w:nsid w:val="5D50D747"/>
    <w:multiLevelType w:val="singleLevel"/>
    <w:tmpl w:val="5D50D747"/>
    <w:lvl w:ilvl="0" w:tentative="0">
      <w:start w:val="1"/>
      <w:numFmt w:val="decimal"/>
      <w:lvlText w:val="%1."/>
      <w:lvlJc w:val="left"/>
      <w:pPr>
        <w:tabs>
          <w:tab w:val="left" w:pos="312"/>
        </w:tabs>
      </w:pPr>
    </w:lvl>
  </w:abstractNum>
  <w:abstractNum w:abstractNumId="18">
    <w:nsid w:val="79D03943"/>
    <w:multiLevelType w:val="singleLevel"/>
    <w:tmpl w:val="79D03943"/>
    <w:lvl w:ilvl="0" w:tentative="0">
      <w:start w:val="1"/>
      <w:numFmt w:val="decimal"/>
      <w:lvlText w:val="%1."/>
      <w:lvlJc w:val="left"/>
      <w:pPr>
        <w:tabs>
          <w:tab w:val="left" w:pos="312"/>
        </w:tabs>
      </w:pPr>
    </w:lvl>
  </w:abstractNum>
  <w:abstractNum w:abstractNumId="19">
    <w:nsid w:val="7BA5AFEF"/>
    <w:multiLevelType w:val="singleLevel"/>
    <w:tmpl w:val="7BA5AFEF"/>
    <w:lvl w:ilvl="0" w:tentative="0">
      <w:start w:val="1"/>
      <w:numFmt w:val="decimal"/>
      <w:lvlText w:val="%1."/>
      <w:lvlJc w:val="left"/>
      <w:pPr>
        <w:tabs>
          <w:tab w:val="left" w:pos="312"/>
        </w:tabs>
      </w:pPr>
    </w:lvl>
  </w:abstractNum>
  <w:abstractNum w:abstractNumId="20">
    <w:nsid w:val="7EAB915C"/>
    <w:multiLevelType w:val="singleLevel"/>
    <w:tmpl w:val="7EAB915C"/>
    <w:lvl w:ilvl="0" w:tentative="0">
      <w:start w:val="1"/>
      <w:numFmt w:val="decimal"/>
      <w:lvlText w:val="%1."/>
      <w:lvlJc w:val="left"/>
      <w:pPr>
        <w:tabs>
          <w:tab w:val="left" w:pos="312"/>
        </w:tabs>
      </w:pPr>
    </w:lvl>
  </w:abstractNum>
  <w:num w:numId="1">
    <w:abstractNumId w:val="19"/>
  </w:num>
  <w:num w:numId="2">
    <w:abstractNumId w:val="15"/>
  </w:num>
  <w:num w:numId="3">
    <w:abstractNumId w:val="16"/>
  </w:num>
  <w:num w:numId="4">
    <w:abstractNumId w:val="1"/>
  </w:num>
  <w:num w:numId="5">
    <w:abstractNumId w:val="18"/>
  </w:num>
  <w:num w:numId="6">
    <w:abstractNumId w:val="12"/>
  </w:num>
  <w:num w:numId="7">
    <w:abstractNumId w:val="2"/>
  </w:num>
  <w:num w:numId="8">
    <w:abstractNumId w:val="5"/>
  </w:num>
  <w:num w:numId="9">
    <w:abstractNumId w:val="4"/>
  </w:num>
  <w:num w:numId="10">
    <w:abstractNumId w:val="10"/>
  </w:num>
  <w:num w:numId="11">
    <w:abstractNumId w:val="9"/>
  </w:num>
  <w:num w:numId="12">
    <w:abstractNumId w:val="3"/>
  </w:num>
  <w:num w:numId="13">
    <w:abstractNumId w:val="8"/>
  </w:num>
  <w:num w:numId="14">
    <w:abstractNumId w:val="7"/>
  </w:num>
  <w:num w:numId="15">
    <w:abstractNumId w:val="17"/>
  </w:num>
  <w:num w:numId="16">
    <w:abstractNumId w:val="13"/>
  </w:num>
  <w:num w:numId="17">
    <w:abstractNumId w:val="0"/>
  </w:num>
  <w:num w:numId="18">
    <w:abstractNumId w:val="14"/>
  </w:num>
  <w:num w:numId="19">
    <w:abstractNumId w:val="11"/>
  </w:num>
  <w:num w:numId="20">
    <w:abstractNumId w:val="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6CA"/>
    <w:rsid w:val="0004797E"/>
    <w:rsid w:val="00096800"/>
    <w:rsid w:val="00236552"/>
    <w:rsid w:val="00365EA0"/>
    <w:rsid w:val="0041786A"/>
    <w:rsid w:val="0044765E"/>
    <w:rsid w:val="00450DAD"/>
    <w:rsid w:val="0049506A"/>
    <w:rsid w:val="007116AC"/>
    <w:rsid w:val="007250F1"/>
    <w:rsid w:val="007C5438"/>
    <w:rsid w:val="008936CA"/>
    <w:rsid w:val="008C4B1A"/>
    <w:rsid w:val="00923F02"/>
    <w:rsid w:val="009C43F1"/>
    <w:rsid w:val="009D29EF"/>
    <w:rsid w:val="00A46368"/>
    <w:rsid w:val="00A84684"/>
    <w:rsid w:val="00A97A8A"/>
    <w:rsid w:val="00AE2509"/>
    <w:rsid w:val="00B021DA"/>
    <w:rsid w:val="00B75B50"/>
    <w:rsid w:val="00BF1554"/>
    <w:rsid w:val="00CD5865"/>
    <w:rsid w:val="00E334BB"/>
    <w:rsid w:val="08020F39"/>
    <w:rsid w:val="084632E5"/>
    <w:rsid w:val="08485258"/>
    <w:rsid w:val="09217C73"/>
    <w:rsid w:val="0B0E3F54"/>
    <w:rsid w:val="0BB944C2"/>
    <w:rsid w:val="0F902322"/>
    <w:rsid w:val="137D136B"/>
    <w:rsid w:val="13C77C1C"/>
    <w:rsid w:val="17D731F0"/>
    <w:rsid w:val="19E758A5"/>
    <w:rsid w:val="1A51082F"/>
    <w:rsid w:val="1C40241D"/>
    <w:rsid w:val="1E940FA5"/>
    <w:rsid w:val="20BE5098"/>
    <w:rsid w:val="24F757ED"/>
    <w:rsid w:val="265408DD"/>
    <w:rsid w:val="276820E0"/>
    <w:rsid w:val="2AD176F3"/>
    <w:rsid w:val="2EE52186"/>
    <w:rsid w:val="32352723"/>
    <w:rsid w:val="356D0B39"/>
    <w:rsid w:val="37DF0681"/>
    <w:rsid w:val="3E486B18"/>
    <w:rsid w:val="44C63154"/>
    <w:rsid w:val="478D1C99"/>
    <w:rsid w:val="48661875"/>
    <w:rsid w:val="49A03D59"/>
    <w:rsid w:val="4D013238"/>
    <w:rsid w:val="4F850C92"/>
    <w:rsid w:val="53EF1784"/>
    <w:rsid w:val="54052548"/>
    <w:rsid w:val="549822DF"/>
    <w:rsid w:val="54A430E5"/>
    <w:rsid w:val="561244C2"/>
    <w:rsid w:val="5B9A490F"/>
    <w:rsid w:val="5DDC5DF4"/>
    <w:rsid w:val="622C785E"/>
    <w:rsid w:val="64722A90"/>
    <w:rsid w:val="65C44C00"/>
    <w:rsid w:val="67735B27"/>
    <w:rsid w:val="68014790"/>
    <w:rsid w:val="701E1C86"/>
    <w:rsid w:val="72616775"/>
    <w:rsid w:val="72F81F7F"/>
    <w:rsid w:val="78040442"/>
    <w:rsid w:val="785F129F"/>
    <w:rsid w:val="7BBB24D3"/>
    <w:rsid w:val="7E0D23FE"/>
    <w:rsid w:val="7E3F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jc w:val="left"/>
    </w:pPr>
    <w:rPr>
      <w:rFonts w:eastAsia="宋体" w:cs="Times New Roman"/>
      <w:sz w:val="2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basedOn w:val="8"/>
    <w:link w:val="2"/>
    <w:qFormat/>
    <w:uiPriority w:val="9"/>
    <w:rPr>
      <w:rFonts w:asciiTheme="majorHAnsi" w:hAnsiTheme="majorHAnsi" w:eastAsiaTheme="majorEastAsia" w:cstheme="majorBidi"/>
      <w:b/>
      <w:bCs/>
      <w:szCs w:val="32"/>
    </w:rPr>
  </w:style>
  <w:style w:type="character" w:customStyle="1" w:styleId="10">
    <w:name w:val="页眉 字符"/>
    <w:basedOn w:val="8"/>
    <w:link w:val="5"/>
    <w:qFormat/>
    <w:uiPriority w:val="99"/>
    <w:rPr>
      <w:rFonts w:ascii="Calibri" w:hAnsi="Calibri" w:eastAsia="宋体" w:cs="Times New Roman"/>
      <w:sz w:val="18"/>
      <w:szCs w:val="18"/>
    </w:rPr>
  </w:style>
  <w:style w:type="character" w:customStyle="1" w:styleId="11">
    <w:name w:val="页脚 字符"/>
    <w:basedOn w:val="8"/>
    <w:link w:val="4"/>
    <w:qFormat/>
    <w:uiPriority w:val="99"/>
    <w:rPr>
      <w:rFonts w:ascii="Calibri" w:hAnsi="Calibri" w:eastAsia="宋体" w:cs="Times New Roman"/>
      <w:sz w:val="18"/>
      <w:szCs w:val="18"/>
    </w:rPr>
  </w:style>
  <w:style w:type="character" w:customStyle="1" w:styleId="12">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scut</Company>
  <Pages>9</Pages>
  <Words>828</Words>
  <Characters>4726</Characters>
  <Lines>39</Lines>
  <Paragraphs>11</Paragraphs>
  <TotalTime>5</TotalTime>
  <ScaleCrop>false</ScaleCrop>
  <LinksUpToDate>false</LinksUpToDate>
  <CharactersWithSpaces>5543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2020-07-24T05:48:00Z</dcterms:created>
  <dc:creator>saking</dc:creator>
  <cp:lastModifiedBy>马晓丽</cp:lastModifiedBy>
  <dcterms:modified xsi:type="dcterms:W3CDTF">2021-06-16T02:07:34Z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1C665FB4D26D4CAB990D79B8D804D0F7</vt:lpwstr>
  </property>
</Properties>
</file>